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4" w:rsidRDefault="000921D4" w:rsidP="00FD70A9">
      <w:pPr>
        <w:jc w:val="center"/>
        <w:rPr>
          <w:rFonts w:ascii="Arial" w:eastAsia="Times New Roman" w:hAnsi="Arial" w:cs="Arial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ADB98" wp14:editId="10272712">
            <wp:simplePos x="0" y="0"/>
            <wp:positionH relativeFrom="column">
              <wp:posOffset>2647950</wp:posOffset>
            </wp:positionH>
            <wp:positionV relativeFrom="paragraph">
              <wp:posOffset>-390525</wp:posOffset>
            </wp:positionV>
            <wp:extent cx="1647825" cy="12731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RA Logo Tiff.tiff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D4" w:rsidRPr="000921D4" w:rsidRDefault="000921D4" w:rsidP="00FD70A9">
      <w:pPr>
        <w:jc w:val="center"/>
        <w:rPr>
          <w:rFonts w:ascii="Arial" w:eastAsia="Times New Roman" w:hAnsi="Arial" w:cs="Arial"/>
          <w:b/>
          <w:color w:val="000000"/>
          <w:sz w:val="4"/>
          <w:szCs w:val="24"/>
        </w:rPr>
      </w:pPr>
    </w:p>
    <w:p w:rsidR="000921D4" w:rsidRDefault="000921D4" w:rsidP="00FD70A9">
      <w:pPr>
        <w:jc w:val="center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0F516B" w:rsidRPr="000F516B" w:rsidRDefault="000F516B" w:rsidP="00FD70A9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D70A9" w:rsidRPr="000921D4" w:rsidRDefault="00FD70A9" w:rsidP="00FD70A9">
      <w:pPr>
        <w:jc w:val="center"/>
        <w:rPr>
          <w:rFonts w:ascii="Arial" w:eastAsia="Times New Roman" w:hAnsi="Arial" w:cs="Arial"/>
          <w:b/>
          <w:color w:val="000000"/>
          <w:sz w:val="36"/>
          <w:szCs w:val="24"/>
        </w:rPr>
      </w:pPr>
      <w:r w:rsidRPr="000921D4">
        <w:rPr>
          <w:rFonts w:ascii="Arial" w:eastAsia="Times New Roman" w:hAnsi="Arial" w:cs="Arial"/>
          <w:b/>
          <w:color w:val="000000"/>
          <w:sz w:val="36"/>
          <w:szCs w:val="24"/>
        </w:rPr>
        <w:t>SVRA By-Law Changes</w:t>
      </w:r>
      <w:r w:rsidR="000921D4">
        <w:rPr>
          <w:rFonts w:ascii="Arial" w:eastAsia="Times New Roman" w:hAnsi="Arial" w:cs="Arial"/>
          <w:b/>
          <w:color w:val="000000"/>
          <w:sz w:val="36"/>
          <w:szCs w:val="24"/>
        </w:rPr>
        <w:t xml:space="preserve"> Highlights</w:t>
      </w:r>
    </w:p>
    <w:p w:rsidR="00FD70A9" w:rsidRPr="000F516B" w:rsidRDefault="00FD70A9" w:rsidP="00FD70A9">
      <w:pPr>
        <w:rPr>
          <w:rFonts w:ascii="Arial" w:eastAsia="Times New Roman" w:hAnsi="Arial" w:cs="Arial"/>
          <w:color w:val="000000"/>
          <w:sz w:val="12"/>
          <w:szCs w:val="24"/>
        </w:rPr>
      </w:pPr>
    </w:p>
    <w:p w:rsidR="00FD70A9" w:rsidRPr="000921D4" w:rsidRDefault="00FD70A9" w:rsidP="000921D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Leisure Valley Incorporated </w:t>
      </w:r>
      <w:r w:rsidR="003F0A5B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and mention of purchasers have been removed due to the fact that Leisure Valley conveyed all </w:t>
      </w:r>
      <w:r w:rsidR="00345459" w:rsidRPr="000921D4">
        <w:rPr>
          <w:rFonts w:ascii="Arial" w:eastAsia="Times New Roman" w:hAnsi="Arial" w:cs="Arial"/>
          <w:color w:val="000000"/>
          <w:sz w:val="28"/>
          <w:szCs w:val="24"/>
        </w:rPr>
        <w:t>rights over to SVRA as successors.</w:t>
      </w:r>
      <w:r w:rsidR="003F0A5B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</w:p>
    <w:p w:rsidR="00AE1419" w:rsidRPr="000921D4" w:rsidRDefault="00AE1419" w:rsidP="000921D4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FD70A9" w:rsidRPr="000921D4" w:rsidRDefault="00345459" w:rsidP="000921D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>Changing quorum requirement</w:t>
      </w:r>
      <w:r w:rsidR="000F516B">
        <w:rPr>
          <w:rFonts w:ascii="Arial" w:eastAsia="Times New Roman" w:hAnsi="Arial" w:cs="Arial"/>
          <w:color w:val="000000"/>
          <w:sz w:val="28"/>
          <w:szCs w:val="24"/>
        </w:rPr>
        <w:t>,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0F516B">
        <w:rPr>
          <w:rFonts w:ascii="Arial" w:eastAsia="Times New Roman" w:hAnsi="Arial" w:cs="Arial"/>
          <w:color w:val="000000"/>
          <w:sz w:val="28"/>
          <w:szCs w:val="24"/>
        </w:rPr>
        <w:t xml:space="preserve">as stated in Article VII Section 6, 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is proposed </w:t>
      </w:r>
      <w:r w:rsidR="00AE1419" w:rsidRPr="000921D4">
        <w:rPr>
          <w:rFonts w:ascii="Arial" w:eastAsia="Times New Roman" w:hAnsi="Arial" w:cs="Arial"/>
          <w:color w:val="000000"/>
          <w:sz w:val="28"/>
          <w:szCs w:val="24"/>
        </w:rPr>
        <w:t>for the following reasons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>:</w:t>
      </w:r>
    </w:p>
    <w:p w:rsidR="00345459" w:rsidRPr="000921D4" w:rsidRDefault="00345459" w:rsidP="000921D4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>10% quorum requirement not uncommon</w:t>
      </w:r>
    </w:p>
    <w:p w:rsidR="00345459" w:rsidRDefault="00345459" w:rsidP="000921D4">
      <w:pPr>
        <w:pStyle w:val="ListParagraph"/>
        <w:numPr>
          <w:ilvl w:val="0"/>
          <w:numId w:val="2"/>
        </w:numPr>
        <w:ind w:left="153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Recent history </w:t>
      </w:r>
      <w:r w:rsidR="00AE1419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has proved that </w:t>
      </w:r>
      <w:r w:rsidR="000921D4">
        <w:rPr>
          <w:rFonts w:ascii="Arial" w:eastAsia="Times New Roman" w:hAnsi="Arial" w:cs="Arial"/>
          <w:color w:val="000000"/>
          <w:sz w:val="28"/>
          <w:szCs w:val="24"/>
        </w:rPr>
        <w:t xml:space="preserve">receiving </w:t>
      </w:r>
      <w:r w:rsidR="00AE1419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30% of eligible voters is extremely difficult to achieve.  Recent percentage received is closer to </w:t>
      </w:r>
      <w:r w:rsidR="000921D4">
        <w:rPr>
          <w:rFonts w:ascii="Arial" w:eastAsia="Times New Roman" w:hAnsi="Arial" w:cs="Arial"/>
          <w:color w:val="000000"/>
          <w:sz w:val="28"/>
          <w:szCs w:val="24"/>
        </w:rPr>
        <w:t xml:space="preserve">  </w:t>
      </w:r>
      <w:r w:rsidR="00AE1419" w:rsidRPr="000921D4">
        <w:rPr>
          <w:rFonts w:ascii="Arial" w:eastAsia="Times New Roman" w:hAnsi="Arial" w:cs="Arial"/>
          <w:color w:val="000000"/>
          <w:sz w:val="28"/>
          <w:szCs w:val="24"/>
        </w:rPr>
        <w:t>10-15% of voters participating.  Changing the quorum requirement allows those interested</w:t>
      </w:r>
      <w:r w:rsidR="000F516B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AE1419" w:rsidRPr="000921D4">
        <w:rPr>
          <w:rFonts w:ascii="Arial" w:eastAsia="Times New Roman" w:hAnsi="Arial" w:cs="Arial"/>
          <w:color w:val="000000"/>
          <w:sz w:val="28"/>
          <w:szCs w:val="24"/>
        </w:rPr>
        <w:t>in supporting the Association votes</w:t>
      </w:r>
      <w:r w:rsidR="000F516B">
        <w:rPr>
          <w:rFonts w:ascii="Arial" w:eastAsia="Times New Roman" w:hAnsi="Arial" w:cs="Arial"/>
          <w:color w:val="000000"/>
          <w:sz w:val="28"/>
          <w:szCs w:val="24"/>
        </w:rPr>
        <w:t>,</w:t>
      </w:r>
      <w:r w:rsidR="00AE1419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the ability to elect new directors, etc.  Those members who choose not to respond will not affect the ability for the Association to continue to move forward.</w:t>
      </w:r>
    </w:p>
    <w:p w:rsidR="000921D4" w:rsidRPr="000921D4" w:rsidRDefault="000921D4" w:rsidP="000921D4">
      <w:pPr>
        <w:pStyle w:val="ListParagraph"/>
        <w:ind w:left="153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0921D4" w:rsidRDefault="00CF233F" w:rsidP="000921D4">
      <w:pPr>
        <w:pStyle w:val="ListParagraph"/>
        <w:numPr>
          <w:ilvl w:val="0"/>
          <w:numId w:val="2"/>
        </w:numPr>
        <w:jc w:val="both"/>
      </w:pPr>
      <w:r>
        <w:rPr>
          <w:rFonts w:ascii="Arial" w:eastAsia="Times New Roman" w:hAnsi="Arial" w:cs="Arial"/>
          <w:color w:val="000000"/>
          <w:sz w:val="28"/>
          <w:szCs w:val="24"/>
        </w:rPr>
        <w:t>Changes in annotations</w:t>
      </w:r>
      <w:r w:rsidR="000921D4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re</w:t>
      </w:r>
      <w:r w:rsidR="000921D4">
        <w:rPr>
          <w:rFonts w:ascii="Arial" w:eastAsia="Times New Roman" w:hAnsi="Arial" w:cs="Arial"/>
          <w:color w:val="000000"/>
          <w:sz w:val="28"/>
          <w:szCs w:val="24"/>
        </w:rPr>
        <w:t>ferencing</w:t>
      </w:r>
      <w:r w:rsidR="000921D4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the </w:t>
      </w:r>
      <w:r w:rsidR="000921D4">
        <w:rPr>
          <w:rFonts w:ascii="Arial" w:eastAsia="Times New Roman" w:hAnsi="Arial" w:cs="Arial"/>
          <w:color w:val="000000"/>
          <w:sz w:val="28"/>
          <w:szCs w:val="24"/>
        </w:rPr>
        <w:t>new information</w:t>
      </w:r>
      <w:r w:rsidR="000921D4"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will be complete once the approval requirements</w:t>
      </w:r>
      <w:r w:rsidR="000921D4">
        <w:rPr>
          <w:rFonts w:ascii="Arial" w:eastAsia="Times New Roman" w:hAnsi="Arial" w:cs="Arial"/>
          <w:color w:val="000000"/>
          <w:sz w:val="28"/>
          <w:szCs w:val="24"/>
        </w:rPr>
        <w:t xml:space="preserve"> are met.</w:t>
      </w:r>
    </w:p>
    <w:p w:rsidR="000921D4" w:rsidRDefault="000921D4" w:rsidP="000921D4">
      <w:pPr>
        <w:pStyle w:val="ListParagraph"/>
        <w:pBdr>
          <w:bottom w:val="single" w:sz="12" w:space="1" w:color="auto"/>
        </w:pBd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6489F9" wp14:editId="5B0E1BBA">
            <wp:simplePos x="0" y="0"/>
            <wp:positionH relativeFrom="column">
              <wp:posOffset>2647950</wp:posOffset>
            </wp:positionH>
            <wp:positionV relativeFrom="paragraph">
              <wp:posOffset>187325</wp:posOffset>
            </wp:positionV>
            <wp:extent cx="1647825" cy="12731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RA Logo Tiff.tiff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D4" w:rsidRDefault="000921D4" w:rsidP="000921D4">
      <w:pPr>
        <w:pStyle w:val="ListParagraph"/>
        <w:jc w:val="both"/>
      </w:pPr>
    </w:p>
    <w:p w:rsidR="000921D4" w:rsidRDefault="000921D4" w:rsidP="000921D4">
      <w:pPr>
        <w:pStyle w:val="ListParagraph"/>
        <w:jc w:val="both"/>
      </w:pPr>
    </w:p>
    <w:p w:rsidR="000921D4" w:rsidRDefault="000921D4" w:rsidP="000921D4">
      <w:pPr>
        <w:jc w:val="center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0921D4" w:rsidRDefault="000921D4" w:rsidP="000921D4">
      <w:pPr>
        <w:jc w:val="center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0921D4" w:rsidRDefault="000921D4" w:rsidP="000921D4">
      <w:pPr>
        <w:jc w:val="center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0921D4" w:rsidRPr="000921D4" w:rsidRDefault="000921D4" w:rsidP="000921D4">
      <w:pPr>
        <w:jc w:val="center"/>
        <w:rPr>
          <w:rFonts w:ascii="Arial" w:eastAsia="Times New Roman" w:hAnsi="Arial" w:cs="Arial"/>
          <w:b/>
          <w:color w:val="000000"/>
          <w:sz w:val="36"/>
          <w:szCs w:val="24"/>
        </w:rPr>
      </w:pPr>
      <w:r w:rsidRPr="000921D4">
        <w:rPr>
          <w:rFonts w:ascii="Arial" w:eastAsia="Times New Roman" w:hAnsi="Arial" w:cs="Arial"/>
          <w:b/>
          <w:color w:val="000000"/>
          <w:sz w:val="36"/>
          <w:szCs w:val="24"/>
        </w:rPr>
        <w:t>SVRA By-Law Changes</w:t>
      </w:r>
      <w:r>
        <w:rPr>
          <w:rFonts w:ascii="Arial" w:eastAsia="Times New Roman" w:hAnsi="Arial" w:cs="Arial"/>
          <w:b/>
          <w:color w:val="000000"/>
          <w:sz w:val="36"/>
          <w:szCs w:val="24"/>
        </w:rPr>
        <w:t xml:space="preserve"> Highlights</w:t>
      </w:r>
    </w:p>
    <w:p w:rsidR="000921D4" w:rsidRPr="000F516B" w:rsidRDefault="000921D4" w:rsidP="000921D4">
      <w:pPr>
        <w:rPr>
          <w:rFonts w:ascii="Arial" w:eastAsia="Times New Roman" w:hAnsi="Arial" w:cs="Arial"/>
          <w:color w:val="000000"/>
          <w:sz w:val="12"/>
          <w:szCs w:val="24"/>
        </w:rPr>
      </w:pPr>
    </w:p>
    <w:p w:rsidR="000921D4" w:rsidRPr="000921D4" w:rsidRDefault="000921D4" w:rsidP="000921D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Leisure Valley Incorporated and mention of purchasers have been removed due to the fact that Leisure Valley conveyed all rights over to SVRA as successors. </w:t>
      </w:r>
    </w:p>
    <w:p w:rsidR="000921D4" w:rsidRPr="000921D4" w:rsidRDefault="000921D4" w:rsidP="000921D4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bookmarkStart w:id="0" w:name="_GoBack"/>
      <w:bookmarkEnd w:id="0"/>
    </w:p>
    <w:p w:rsidR="000F516B" w:rsidRPr="000921D4" w:rsidRDefault="000F516B" w:rsidP="000F516B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>Changing quorum requirement</w:t>
      </w:r>
      <w:r>
        <w:rPr>
          <w:rFonts w:ascii="Arial" w:eastAsia="Times New Roman" w:hAnsi="Arial" w:cs="Arial"/>
          <w:color w:val="000000"/>
          <w:sz w:val="28"/>
          <w:szCs w:val="24"/>
        </w:rPr>
        <w:t>,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as stated in Article VII Section 6, 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>is proposed for the following reasons:</w:t>
      </w:r>
    </w:p>
    <w:p w:rsidR="000921D4" w:rsidRPr="000921D4" w:rsidRDefault="000921D4" w:rsidP="000921D4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>10% quorum requirement not uncommon</w:t>
      </w:r>
    </w:p>
    <w:p w:rsidR="000921D4" w:rsidRDefault="000921D4" w:rsidP="000921D4">
      <w:pPr>
        <w:pStyle w:val="ListParagraph"/>
        <w:numPr>
          <w:ilvl w:val="0"/>
          <w:numId w:val="2"/>
        </w:numPr>
        <w:ind w:left="153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Recent history has proved that 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receiving 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30% of eligible voters is extremely difficult to achieve.  Recent percentage received is closer to 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 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>10-15% of voters participating.  Changing the quorum requirement allows those interested</w:t>
      </w:r>
      <w:r w:rsidR="000F516B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>in supporting the Association votes</w:t>
      </w:r>
      <w:r w:rsidR="000F516B">
        <w:rPr>
          <w:rFonts w:ascii="Arial" w:eastAsia="Times New Roman" w:hAnsi="Arial" w:cs="Arial"/>
          <w:color w:val="000000"/>
          <w:sz w:val="28"/>
          <w:szCs w:val="24"/>
        </w:rPr>
        <w:t>,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the ability to elect new directors, etc.  Those members who choose not to respond will not affect the ability for the Association to continue to move forward.</w:t>
      </w:r>
    </w:p>
    <w:p w:rsidR="000921D4" w:rsidRPr="000921D4" w:rsidRDefault="000921D4" w:rsidP="000921D4">
      <w:pPr>
        <w:pStyle w:val="ListParagraph"/>
        <w:ind w:left="153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0921D4" w:rsidRDefault="000921D4" w:rsidP="000921D4">
      <w:pPr>
        <w:pStyle w:val="ListParagraph"/>
        <w:numPr>
          <w:ilvl w:val="0"/>
          <w:numId w:val="2"/>
        </w:numPr>
        <w:jc w:val="both"/>
      </w:pPr>
      <w:r w:rsidRPr="000921D4">
        <w:rPr>
          <w:rFonts w:ascii="Arial" w:eastAsia="Times New Roman" w:hAnsi="Arial" w:cs="Arial"/>
          <w:color w:val="000000"/>
          <w:sz w:val="28"/>
          <w:szCs w:val="24"/>
        </w:rPr>
        <w:t>Changes in annotations re</w:t>
      </w:r>
      <w:r>
        <w:rPr>
          <w:rFonts w:ascii="Arial" w:eastAsia="Times New Roman" w:hAnsi="Arial" w:cs="Arial"/>
          <w:color w:val="000000"/>
          <w:sz w:val="28"/>
          <w:szCs w:val="24"/>
        </w:rPr>
        <w:t>ferencing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the </w:t>
      </w:r>
      <w:r>
        <w:rPr>
          <w:rFonts w:ascii="Arial" w:eastAsia="Times New Roman" w:hAnsi="Arial" w:cs="Arial"/>
          <w:color w:val="000000"/>
          <w:sz w:val="28"/>
          <w:szCs w:val="24"/>
        </w:rPr>
        <w:t>new information</w:t>
      </w:r>
      <w:r w:rsidRPr="000921D4">
        <w:rPr>
          <w:rFonts w:ascii="Arial" w:eastAsia="Times New Roman" w:hAnsi="Arial" w:cs="Arial"/>
          <w:color w:val="000000"/>
          <w:sz w:val="28"/>
          <w:szCs w:val="24"/>
        </w:rPr>
        <w:t xml:space="preserve"> will be complete once the approval requirements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are met.</w:t>
      </w:r>
    </w:p>
    <w:sectPr w:rsidR="000921D4" w:rsidSect="00092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0F3"/>
    <w:multiLevelType w:val="hybridMultilevel"/>
    <w:tmpl w:val="4BD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5C4"/>
    <w:multiLevelType w:val="hybridMultilevel"/>
    <w:tmpl w:val="72F0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A9"/>
    <w:rsid w:val="000921D4"/>
    <w:rsid w:val="000F516B"/>
    <w:rsid w:val="000F6D13"/>
    <w:rsid w:val="001171AA"/>
    <w:rsid w:val="00345459"/>
    <w:rsid w:val="003F0A5B"/>
    <w:rsid w:val="00522769"/>
    <w:rsid w:val="007E25ED"/>
    <w:rsid w:val="00AE1419"/>
    <w:rsid w:val="00CF233F"/>
    <w:rsid w:val="00D36CBC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Tallia Booker</dc:creator>
  <cp:lastModifiedBy>Tallia Booker</cp:lastModifiedBy>
  <cp:revision>5</cp:revision>
  <cp:lastPrinted>2017-09-05T16:33:00Z</cp:lastPrinted>
  <dcterms:created xsi:type="dcterms:W3CDTF">2017-09-01T17:29:00Z</dcterms:created>
  <dcterms:modified xsi:type="dcterms:W3CDTF">2017-09-05T16:33:00Z</dcterms:modified>
</cp:coreProperties>
</file>